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ED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江津区第二人民医院</w:t>
      </w:r>
    </w:p>
    <w:p w14:paraId="7C468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采购公告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——2025年医学装备第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三批</w:t>
      </w:r>
    </w:p>
    <w:p w14:paraId="7FC3A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（第二次）</w:t>
      </w:r>
    </w:p>
    <w:p w14:paraId="458DC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</w:p>
    <w:p w14:paraId="579E2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一、项目名称</w:t>
      </w:r>
    </w:p>
    <w:p w14:paraId="1367E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项目名称：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2025年医学装备第三批</w:t>
      </w:r>
    </w:p>
    <w:p w14:paraId="70EB2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项目内容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350"/>
        <w:gridCol w:w="3465"/>
        <w:gridCol w:w="1320"/>
        <w:gridCol w:w="900"/>
        <w:gridCol w:w="1354"/>
      </w:tblGrid>
      <w:tr w14:paraId="0E4C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</w:tcPr>
          <w:p w14:paraId="63B1B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设备一览表</w:t>
            </w:r>
          </w:p>
        </w:tc>
      </w:tr>
      <w:tr w14:paraId="646F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432A3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包号</w:t>
            </w:r>
          </w:p>
        </w:tc>
        <w:tc>
          <w:tcPr>
            <w:tcW w:w="1350" w:type="dxa"/>
            <w:vAlign w:val="center"/>
          </w:tcPr>
          <w:p w14:paraId="3C584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设备名称</w:t>
            </w:r>
          </w:p>
        </w:tc>
        <w:tc>
          <w:tcPr>
            <w:tcW w:w="3465" w:type="dxa"/>
            <w:vAlign w:val="center"/>
          </w:tcPr>
          <w:p w14:paraId="46FC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项目内容及配置要求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A0F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最高限价</w:t>
            </w:r>
          </w:p>
          <w:p w14:paraId="5A02A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（万元/台）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3D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采购数量（台）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DFB1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需求科室</w:t>
            </w:r>
          </w:p>
        </w:tc>
      </w:tr>
      <w:tr w14:paraId="4C04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17D04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50" w:type="dxa"/>
            <w:vAlign w:val="center"/>
          </w:tcPr>
          <w:p w14:paraId="615D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荧光免疫分析仪</w:t>
            </w:r>
          </w:p>
        </w:tc>
        <w:tc>
          <w:tcPr>
            <w:tcW w:w="3465" w:type="dxa"/>
            <w:vAlign w:val="center"/>
          </w:tcPr>
          <w:p w14:paraId="7B7CAA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能快速完成床旁肌钙蛋白及D二聚体等的检测（抽血到出检测结果的时间在20分钟内）</w:t>
            </w:r>
          </w:p>
        </w:tc>
        <w:tc>
          <w:tcPr>
            <w:tcW w:w="1320" w:type="dxa"/>
            <w:vAlign w:val="center"/>
          </w:tcPr>
          <w:p w14:paraId="27161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900" w:type="dxa"/>
            <w:vAlign w:val="center"/>
          </w:tcPr>
          <w:p w14:paraId="4A878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54" w:type="dxa"/>
            <w:vAlign w:val="center"/>
          </w:tcPr>
          <w:p w14:paraId="14E66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急诊科、心血管内科</w:t>
            </w:r>
          </w:p>
        </w:tc>
      </w:tr>
      <w:tr w14:paraId="4429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60577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50" w:type="dxa"/>
            <w:vAlign w:val="center"/>
          </w:tcPr>
          <w:p w14:paraId="2922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病人监护仪</w:t>
            </w:r>
          </w:p>
        </w:tc>
        <w:tc>
          <w:tcPr>
            <w:tcW w:w="3465" w:type="dxa"/>
            <w:vAlign w:val="center"/>
          </w:tcPr>
          <w:p w14:paraId="3AAD98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eastAsia="zh-CN" w:bidi="ar-SA"/>
                <w:woUserID w:val="1"/>
              </w:rPr>
              <w:t>可用于院外（救护车）或院内病人转运过程中监护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。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eastAsia="zh-CN" w:bidi="ar-SA"/>
                <w:woUserID w:val="1"/>
              </w:rPr>
              <w:t>适用于成人、小儿的监测。可同时监测心电、呼吸、心率、无创血压、血氧饱和度、脉搏、体温、有创血压等。能够良好抗干扰。采用可更换内置锂电池供电，电池连续工作时间（非待机）不小于5小时。内置DC电源接口，可以进行车载充电。</w:t>
            </w:r>
          </w:p>
        </w:tc>
        <w:tc>
          <w:tcPr>
            <w:tcW w:w="1320" w:type="dxa"/>
            <w:vAlign w:val="center"/>
          </w:tcPr>
          <w:p w14:paraId="1875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 w14:paraId="032ED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54" w:type="dxa"/>
            <w:vAlign w:val="center"/>
          </w:tcPr>
          <w:p w14:paraId="043E8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急诊科、麻醉科</w:t>
            </w:r>
          </w:p>
        </w:tc>
      </w:tr>
      <w:tr w14:paraId="2111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2CC67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50" w:type="dxa"/>
            <w:vAlign w:val="center"/>
          </w:tcPr>
          <w:p w14:paraId="32227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超声刀</w:t>
            </w:r>
          </w:p>
        </w:tc>
        <w:tc>
          <w:tcPr>
            <w:tcW w:w="3465" w:type="dxa"/>
            <w:vAlign w:val="center"/>
          </w:tcPr>
          <w:p w14:paraId="34ED80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eastAsia="zh-CN" w:bidi="ar-SA"/>
                <w:woUserID w:val="1"/>
              </w:rPr>
              <w:t>主要用于普外科、妇产科、胸外科、泌尿科、消化科等开放及腔镜手术中的切割与止血。应具有配置齐全、性能稳定、操作简便安全，并具有良好的升级能力设计。</w:t>
            </w:r>
          </w:p>
        </w:tc>
        <w:tc>
          <w:tcPr>
            <w:tcW w:w="1320" w:type="dxa"/>
            <w:vAlign w:val="center"/>
          </w:tcPr>
          <w:p w14:paraId="3A631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00" w:type="dxa"/>
            <w:vAlign w:val="center"/>
          </w:tcPr>
          <w:p w14:paraId="3362E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54" w:type="dxa"/>
            <w:vAlign w:val="center"/>
          </w:tcPr>
          <w:p w14:paraId="53BBF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麻醉科</w:t>
            </w:r>
          </w:p>
        </w:tc>
      </w:tr>
      <w:tr w14:paraId="0EDB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 w14:paraId="62B8E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50" w:type="dxa"/>
            <w:vAlign w:val="center"/>
          </w:tcPr>
          <w:p w14:paraId="3B56B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动态血压监测仪</w:t>
            </w:r>
          </w:p>
        </w:tc>
        <w:tc>
          <w:tcPr>
            <w:tcW w:w="3465" w:type="dxa"/>
            <w:vAlign w:val="center"/>
          </w:tcPr>
          <w:p w14:paraId="7105A5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24小时血压检测</w:t>
            </w:r>
          </w:p>
        </w:tc>
        <w:tc>
          <w:tcPr>
            <w:tcW w:w="1320" w:type="dxa"/>
            <w:vAlign w:val="center"/>
          </w:tcPr>
          <w:p w14:paraId="1607B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1.5</w:t>
            </w:r>
          </w:p>
        </w:tc>
        <w:tc>
          <w:tcPr>
            <w:tcW w:w="900" w:type="dxa"/>
            <w:vAlign w:val="center"/>
          </w:tcPr>
          <w:p w14:paraId="23C2A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54" w:type="dxa"/>
            <w:vMerge w:val="restart"/>
            <w:vAlign w:val="center"/>
          </w:tcPr>
          <w:p w14:paraId="35BA1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心血管内科</w:t>
            </w:r>
          </w:p>
        </w:tc>
      </w:tr>
      <w:tr w14:paraId="28AD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 w14:paraId="2E374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 w14:paraId="2165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动态心电图工作站</w:t>
            </w:r>
          </w:p>
        </w:tc>
        <w:tc>
          <w:tcPr>
            <w:tcW w:w="3465" w:type="dxa"/>
            <w:vAlign w:val="center"/>
          </w:tcPr>
          <w:p w14:paraId="752081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24小时动态心电图检查。</w:t>
            </w:r>
          </w:p>
        </w:tc>
        <w:tc>
          <w:tcPr>
            <w:tcW w:w="1320" w:type="dxa"/>
            <w:vAlign w:val="center"/>
          </w:tcPr>
          <w:p w14:paraId="5AB06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0.9</w:t>
            </w:r>
          </w:p>
        </w:tc>
        <w:tc>
          <w:tcPr>
            <w:tcW w:w="900" w:type="dxa"/>
            <w:vAlign w:val="center"/>
          </w:tcPr>
          <w:p w14:paraId="5848C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54" w:type="dxa"/>
            <w:vMerge w:val="continue"/>
            <w:vAlign w:val="center"/>
          </w:tcPr>
          <w:p w14:paraId="56FB7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651B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 w14:paraId="1A430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 w14:paraId="660C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心电工作站采集器</w:t>
            </w:r>
          </w:p>
        </w:tc>
        <w:tc>
          <w:tcPr>
            <w:tcW w:w="3465" w:type="dxa"/>
            <w:vAlign w:val="center"/>
          </w:tcPr>
          <w:p w14:paraId="49517F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主要用于床旁检查。</w:t>
            </w:r>
          </w:p>
        </w:tc>
        <w:tc>
          <w:tcPr>
            <w:tcW w:w="1320" w:type="dxa"/>
            <w:vAlign w:val="center"/>
          </w:tcPr>
          <w:p w14:paraId="41527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1.55</w:t>
            </w:r>
          </w:p>
        </w:tc>
        <w:tc>
          <w:tcPr>
            <w:tcW w:w="900" w:type="dxa"/>
            <w:vAlign w:val="center"/>
          </w:tcPr>
          <w:p w14:paraId="5A5A0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54" w:type="dxa"/>
            <w:vMerge w:val="continue"/>
            <w:vAlign w:val="center"/>
          </w:tcPr>
          <w:p w14:paraId="58340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578FB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7A51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50" w:type="dxa"/>
            <w:vAlign w:val="center"/>
          </w:tcPr>
          <w:p w14:paraId="40AEF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便携式睡眠呼吸监测仪</w:t>
            </w:r>
          </w:p>
        </w:tc>
        <w:tc>
          <w:tcPr>
            <w:tcW w:w="3465" w:type="dxa"/>
            <w:vAlign w:val="center"/>
          </w:tcPr>
          <w:p w14:paraId="33AF6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eastAsia="zh-CN" w:bidi="ar-SA"/>
                <w:woUserID w:val="3"/>
              </w:rPr>
            </w:pPr>
            <w:r>
              <w:rPr>
                <w:color w:val="auto"/>
              </w:rPr>
              <w:t>适用于睡眠呼吸暂停低通气综合征（SAHS）</w:t>
            </w:r>
            <w:r>
              <w:rPr>
                <w:color w:val="auto"/>
                <w:woUserID w:val="3"/>
              </w:rPr>
              <w:t>，</w:t>
            </w:r>
            <w:r>
              <w:rPr>
                <w:color w:val="auto"/>
              </w:rPr>
              <w:t>用于睡眠呼吸监测，血氧监测，对睡眠呼吸暂停低通气综合征（SAHS）分型，进行睡眠方面评估，可以对睡眠分期，睡眠潜伏期，睡眠效率，睡眠质量等准确判断</w:t>
            </w:r>
            <w:r>
              <w:rPr>
                <w:color w:val="auto"/>
                <w:woUserID w:val="3"/>
              </w:rPr>
              <w:t>。</w:t>
            </w:r>
          </w:p>
        </w:tc>
        <w:tc>
          <w:tcPr>
            <w:tcW w:w="1320" w:type="dxa"/>
            <w:vAlign w:val="center"/>
          </w:tcPr>
          <w:p w14:paraId="769C0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900" w:type="dxa"/>
            <w:vAlign w:val="center"/>
          </w:tcPr>
          <w:p w14:paraId="76017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54" w:type="dxa"/>
            <w:vAlign w:val="center"/>
          </w:tcPr>
          <w:p w14:paraId="18719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神经系统疾病科</w:t>
            </w:r>
          </w:p>
        </w:tc>
      </w:tr>
      <w:tr w14:paraId="632F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1B9B5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50" w:type="dxa"/>
            <w:vAlign w:val="center"/>
          </w:tcPr>
          <w:p w14:paraId="7CF5F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持续正压通气呼吸机</w:t>
            </w:r>
          </w:p>
        </w:tc>
        <w:tc>
          <w:tcPr>
            <w:tcW w:w="3465" w:type="dxa"/>
            <w:vAlign w:val="center"/>
          </w:tcPr>
          <w:p w14:paraId="0F3340A9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eastAsia="zh-CN" w:bidi="ar-SA"/>
                <w:woUserID w:val="3"/>
              </w:rPr>
            </w:pPr>
            <w:r>
              <w:rPr>
                <w:rFonts w:hint="eastAsia"/>
                <w:color w:val="auto"/>
              </w:rPr>
              <w:t>具备多种模式（C</w:t>
            </w:r>
            <w:r>
              <w:rPr>
                <w:color w:val="auto"/>
              </w:rPr>
              <w:t>PAP\AUTOCPAP\AutoCPAPF</w:t>
            </w:r>
            <w:r>
              <w:rPr>
                <w:rFonts w:hint="eastAsia"/>
                <w:color w:val="auto"/>
              </w:rPr>
              <w:t>o</w:t>
            </w:r>
            <w:r>
              <w:rPr>
                <w:color w:val="auto"/>
              </w:rPr>
              <w:t>rHer</w:t>
            </w:r>
            <w:r>
              <w:rPr>
                <w:rFonts w:hint="eastAsia"/>
                <w:color w:val="auto"/>
              </w:rPr>
              <w:t>）以满足各种阻塞性睡眠呼吸障碍患者的治疗需要</w:t>
            </w:r>
            <w:r>
              <w:rPr>
                <w:rFonts w:hint="default"/>
                <w:color w:val="auto"/>
                <w:woUserID w:val="1"/>
              </w:rPr>
              <w:t>，</w:t>
            </w:r>
            <w:r>
              <w:rPr>
                <w:rFonts w:hint="eastAsia"/>
                <w:color w:val="auto"/>
              </w:rPr>
              <w:t>设备运行噪音低于25分贝，加热管路，智能温控系统，远程管理医生端可远程查看数据，院外7天数据自动上传至医院端</w:t>
            </w:r>
            <w:r>
              <w:rPr>
                <w:rFonts w:hint="default"/>
                <w:color w:val="auto"/>
                <w:woUserID w:val="3"/>
              </w:rPr>
              <w:t>。</w:t>
            </w:r>
          </w:p>
        </w:tc>
        <w:tc>
          <w:tcPr>
            <w:tcW w:w="1320" w:type="dxa"/>
            <w:vAlign w:val="center"/>
          </w:tcPr>
          <w:p w14:paraId="0EC72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 w14:paraId="10B72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54" w:type="dxa"/>
            <w:vAlign w:val="center"/>
          </w:tcPr>
          <w:p w14:paraId="39542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神经系统疾病科</w:t>
            </w:r>
          </w:p>
        </w:tc>
      </w:tr>
    </w:tbl>
    <w:p w14:paraId="77306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采购方式：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院内阳光推介议价采购</w:t>
      </w:r>
    </w:p>
    <w:p w14:paraId="037D3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报价方式：二次报价</w:t>
      </w:r>
    </w:p>
    <w:p w14:paraId="0BF0C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参与人资格要求：</w:t>
      </w:r>
    </w:p>
    <w:p w14:paraId="7755F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（1）具有独立承担民事责任的能力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；</w:t>
      </w:r>
    </w:p>
    <w:p w14:paraId="5C6BB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（2）具有良好的商业信誉和健全的财务会计制度；</w:t>
      </w:r>
    </w:p>
    <w:p w14:paraId="703C2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（3）具有履行合同所必需的设备和专业技术能力；</w:t>
      </w:r>
    </w:p>
    <w:p w14:paraId="41A70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（4）有依法缴纳税收和社会保障资金的良好记录；</w:t>
      </w:r>
    </w:p>
    <w:p w14:paraId="18B88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（5）参加政府采购活动前三年内，在经营活动中没有重大违法记录；</w:t>
      </w:r>
    </w:p>
    <w:p w14:paraId="3F431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（6）法律、行政法规规定的其他条件。</w:t>
      </w:r>
    </w:p>
    <w:p w14:paraId="32332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五、相关要求</w:t>
      </w:r>
    </w:p>
    <w:p w14:paraId="52877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资料递交：2025年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日-2025年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17:00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（非工作时间不接受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资料提交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）</w:t>
      </w:r>
    </w:p>
    <w:p w14:paraId="0FCDB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供应商代表阳光推介预约登记表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》（附件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）；</w:t>
      </w:r>
    </w:p>
    <w:p w14:paraId="2644E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产品资料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（包括且不限于）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：</w:t>
      </w:r>
    </w:p>
    <w:p w14:paraId="4B502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（1）产品配置清单；</w:t>
      </w:r>
    </w:p>
    <w:p w14:paraId="6ED8F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（2）产品技术参数；</w:t>
      </w:r>
    </w:p>
    <w:p w14:paraId="25839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（3）易损件及主要零配件的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品牌、规格型号及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报价；</w:t>
      </w:r>
    </w:p>
    <w:p w14:paraId="500E4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）服务承诺；</w:t>
      </w:r>
    </w:p>
    <w:p w14:paraId="42C36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若该设备涉及耗材、试剂，需要提供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耗材、试剂的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报价明细表（附件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。</w:t>
      </w:r>
    </w:p>
    <w:p w14:paraId="383D4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资质材料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（包括且不限于）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：</w:t>
      </w:r>
    </w:p>
    <w:p w14:paraId="4D990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经销商资质（营业执照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经营许可证）；</w:t>
      </w:r>
    </w:p>
    <w:p w14:paraId="7B3D3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）生产厂家资质（营业执照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生产许可证）；</w:t>
      </w:r>
    </w:p>
    <w:p w14:paraId="36726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）产品资质（注册证及附件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、备案凭证等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）；</w:t>
      </w:r>
    </w:p>
    <w:p w14:paraId="750C7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）授权资料（法定代表人及递交人的身份证复印件、法定代表人对资料递交人的授权委托书、生产企业对代理经销商的授权书）。</w:t>
      </w:r>
    </w:p>
    <w:p w14:paraId="6BEBE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价格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材料：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同品牌型号产品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公告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公开之日起往前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年内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在公立医院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签订的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购销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合同。</w:t>
      </w:r>
    </w:p>
    <w:p w14:paraId="2CF52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（二）所有资料按顺序制成PDF电子版（需加盖公章）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发QQ邮箱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1252639389@qq.com，邮件命名要求：参与项目名称+公司名称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+联系人+电话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，纸质版（接通知后现场交），需加盖公章。</w:t>
      </w:r>
    </w:p>
    <w:p w14:paraId="14FF7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（三）现场报名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地点：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重庆市江津区第二人民医院采购办（江津区白沙镇增光大道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333号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</w:p>
    <w:p w14:paraId="149D0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（四）需要勘查现场的，自行前往，联系部门：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医学装备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科。</w:t>
      </w:r>
    </w:p>
    <w:p w14:paraId="70FD1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监督电话：023-47340086（纪委办公室）</w:t>
      </w:r>
    </w:p>
    <w:p w14:paraId="7C138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（六）报名咨询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联系方式</w:t>
      </w:r>
    </w:p>
    <w:p w14:paraId="6CA95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老师      联系电话：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023-47330200</w:t>
      </w:r>
    </w:p>
    <w:p w14:paraId="5BFEA6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-SA"/>
        </w:rPr>
        <w:t>六、纪律要求</w:t>
      </w:r>
    </w:p>
    <w:p w14:paraId="60B45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bookmarkStart w:id="0" w:name="_GoBack"/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</w:rPr>
        <w:t>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供应商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</w:rPr>
        <w:t>应严格遵守诚信、廉洁纪律，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否则按照医院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</w:rPr>
        <w:t>《供应商不良信用“黑名单”管理制度(试行)》列入我院供应商黑名单，有违法行为的将移交司法机关处理。</w:t>
      </w:r>
    </w:p>
    <w:p w14:paraId="224F4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</w:t>
      </w:r>
    </w:p>
    <w:bookmarkEnd w:id="0"/>
    <w:p w14:paraId="58CD2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附件：1.《供应商代表阳光推介预约登记表》</w:t>
      </w:r>
    </w:p>
    <w:p w14:paraId="263D1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     2.耗材报价明细表</w:t>
      </w:r>
    </w:p>
    <w:p w14:paraId="63B12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13747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                                       重庆市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江津区第二人民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医院</w:t>
      </w:r>
    </w:p>
    <w:p w14:paraId="7DF82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2025年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</w:t>
      </w:r>
    </w:p>
    <w:p w14:paraId="4331D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02EAF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3CCA6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354BD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0ED24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</w:t>
      </w:r>
    </w:p>
    <w:p w14:paraId="23DB3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供应商代表阳光推介预约登记表</w:t>
      </w:r>
    </w:p>
    <w:tbl>
      <w:tblPr>
        <w:tblStyle w:val="6"/>
        <w:tblW w:w="90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574"/>
        <w:gridCol w:w="1946"/>
        <w:gridCol w:w="2277"/>
      </w:tblGrid>
      <w:tr w14:paraId="76B5C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center"/>
          </w:tcPr>
          <w:p w14:paraId="1CC0AE47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单位名称</w:t>
            </w:r>
          </w:p>
        </w:tc>
        <w:tc>
          <w:tcPr>
            <w:tcW w:w="6797" w:type="dxa"/>
            <w:gridSpan w:val="3"/>
            <w:noWrap w:val="0"/>
            <w:vAlign w:val="center"/>
          </w:tcPr>
          <w:p w14:paraId="74E099A6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37A93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center"/>
          </w:tcPr>
          <w:p w14:paraId="5CE97804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代表姓名</w:t>
            </w:r>
          </w:p>
        </w:tc>
        <w:tc>
          <w:tcPr>
            <w:tcW w:w="2574" w:type="dxa"/>
            <w:noWrap w:val="0"/>
            <w:vAlign w:val="center"/>
          </w:tcPr>
          <w:p w14:paraId="61FD1860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7E0D375F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性别</w:t>
            </w:r>
          </w:p>
        </w:tc>
        <w:tc>
          <w:tcPr>
            <w:tcW w:w="2277" w:type="dxa"/>
            <w:noWrap w:val="0"/>
            <w:vAlign w:val="center"/>
          </w:tcPr>
          <w:p w14:paraId="1E683ECB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val="en-US" w:eastAsia="zh-CN"/>
              </w:rPr>
            </w:pPr>
          </w:p>
        </w:tc>
      </w:tr>
      <w:tr w14:paraId="0CF49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center"/>
          </w:tcPr>
          <w:p w14:paraId="306EB493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身份证号</w:t>
            </w:r>
          </w:p>
        </w:tc>
        <w:tc>
          <w:tcPr>
            <w:tcW w:w="2574" w:type="dxa"/>
            <w:noWrap w:val="0"/>
            <w:vAlign w:val="center"/>
          </w:tcPr>
          <w:p w14:paraId="3C88F917">
            <w:pPr>
              <w:widowControl/>
              <w:jc w:val="center"/>
              <w:rPr>
                <w:rFonts w:hint="default" w:ascii="方正仿宋_GBK" w:hAnsi="黑体" w:eastAsia="方正仿宋_GBK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6FE9D042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手机号</w:t>
            </w:r>
          </w:p>
        </w:tc>
        <w:tc>
          <w:tcPr>
            <w:tcW w:w="2277" w:type="dxa"/>
            <w:noWrap w:val="0"/>
            <w:vAlign w:val="center"/>
          </w:tcPr>
          <w:p w14:paraId="7951B358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6841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59" w:type="dxa"/>
            <w:vMerge w:val="restart"/>
            <w:noWrap w:val="0"/>
            <w:vAlign w:val="center"/>
          </w:tcPr>
          <w:p w14:paraId="1C051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是否与医院</w:t>
            </w:r>
          </w:p>
          <w:p w14:paraId="26D0C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有往来合作</w:t>
            </w:r>
          </w:p>
        </w:tc>
        <w:tc>
          <w:tcPr>
            <w:tcW w:w="2574" w:type="dxa"/>
            <w:vMerge w:val="restart"/>
            <w:noWrap w:val="0"/>
            <w:vAlign w:val="center"/>
          </w:tcPr>
          <w:p w14:paraId="6B0E0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是</w:t>
            </w:r>
          </w:p>
        </w:tc>
        <w:tc>
          <w:tcPr>
            <w:tcW w:w="1946" w:type="dxa"/>
            <w:noWrap w:val="0"/>
            <w:vAlign w:val="center"/>
          </w:tcPr>
          <w:p w14:paraId="7F437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合作项目</w:t>
            </w:r>
          </w:p>
        </w:tc>
        <w:tc>
          <w:tcPr>
            <w:tcW w:w="2277" w:type="dxa"/>
            <w:noWrap w:val="0"/>
            <w:vAlign w:val="center"/>
          </w:tcPr>
          <w:p w14:paraId="11E4B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5DB50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259" w:type="dxa"/>
            <w:vMerge w:val="continue"/>
            <w:noWrap w:val="0"/>
            <w:vAlign w:val="center"/>
          </w:tcPr>
          <w:p w14:paraId="2AE32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2574" w:type="dxa"/>
            <w:vMerge w:val="continue"/>
            <w:noWrap w:val="0"/>
            <w:vAlign w:val="center"/>
          </w:tcPr>
          <w:p w14:paraId="2FBA1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71EBB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合作时间</w:t>
            </w:r>
          </w:p>
        </w:tc>
        <w:tc>
          <w:tcPr>
            <w:tcW w:w="2277" w:type="dxa"/>
            <w:noWrap w:val="0"/>
            <w:vAlign w:val="center"/>
          </w:tcPr>
          <w:p w14:paraId="6C765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7A140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59" w:type="dxa"/>
            <w:vMerge w:val="continue"/>
            <w:noWrap w:val="0"/>
            <w:vAlign w:val="center"/>
          </w:tcPr>
          <w:p w14:paraId="6098A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27DDF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否</w:t>
            </w:r>
          </w:p>
        </w:tc>
        <w:tc>
          <w:tcPr>
            <w:tcW w:w="1946" w:type="dxa"/>
            <w:noWrap w:val="0"/>
            <w:vAlign w:val="center"/>
          </w:tcPr>
          <w:p w14:paraId="459E9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7DDA3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574A6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259" w:type="dxa"/>
            <w:noWrap w:val="0"/>
            <w:vAlign w:val="center"/>
          </w:tcPr>
          <w:p w14:paraId="26468359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推荐类别</w:t>
            </w:r>
          </w:p>
        </w:tc>
        <w:tc>
          <w:tcPr>
            <w:tcW w:w="6797" w:type="dxa"/>
            <w:gridSpan w:val="3"/>
            <w:noWrap w:val="0"/>
            <w:vAlign w:val="center"/>
          </w:tcPr>
          <w:p w14:paraId="1953FA86">
            <w:pPr>
              <w:rPr>
                <w:rFonts w:ascii="思源黑体" w:hAnsi="宋体" w:eastAsia="思源黑体" w:cs="宋体"/>
                <w:color w:val="auto"/>
                <w:szCs w:val="21"/>
                <w:highlight w:val="none"/>
              </w:rPr>
            </w:pP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25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5" w:name="Control 1" w:shapeid="_x0000_i1025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耗材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26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7" w:name="Control 2" w:shapeid="_x0000_i1026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试剂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27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8" w:name="Control 3" w:shapeid="_x0000_i1027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药品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28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9" w:name="Control 4" w:shapeid="_x0000_i1028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设备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29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0" w:name="Control 5" w:shapeid="_x0000_i1029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服务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30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1" w:name="Control 6" w:shapeid="_x0000_i1030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 xml:space="preserve">其他   </w:t>
            </w:r>
          </w:p>
        </w:tc>
      </w:tr>
      <w:tr w14:paraId="1ECCE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59" w:type="dxa"/>
            <w:noWrap w:val="0"/>
            <w:vAlign w:val="center"/>
          </w:tcPr>
          <w:p w14:paraId="452D56CD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产品或项目名称</w:t>
            </w:r>
          </w:p>
        </w:tc>
        <w:tc>
          <w:tcPr>
            <w:tcW w:w="6797" w:type="dxa"/>
            <w:gridSpan w:val="3"/>
            <w:noWrap w:val="0"/>
            <w:vAlign w:val="center"/>
          </w:tcPr>
          <w:p w14:paraId="17321121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127B2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Merge w:val="restart"/>
            <w:noWrap w:val="0"/>
            <w:vAlign w:val="center"/>
          </w:tcPr>
          <w:p w14:paraId="41D2B4FC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产品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介绍</w:t>
            </w:r>
          </w:p>
        </w:tc>
        <w:tc>
          <w:tcPr>
            <w:tcW w:w="2574" w:type="dxa"/>
            <w:noWrap w:val="0"/>
            <w:vAlign w:val="center"/>
          </w:tcPr>
          <w:p w14:paraId="32FBB724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注册名称</w:t>
            </w:r>
          </w:p>
        </w:tc>
        <w:tc>
          <w:tcPr>
            <w:tcW w:w="4223" w:type="dxa"/>
            <w:gridSpan w:val="2"/>
            <w:noWrap w:val="0"/>
            <w:vAlign w:val="center"/>
          </w:tcPr>
          <w:p w14:paraId="69DE6BC5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556D9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Merge w:val="continue"/>
            <w:noWrap w:val="0"/>
            <w:vAlign w:val="center"/>
          </w:tcPr>
          <w:p w14:paraId="3F349624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0C240482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注册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证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号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（备案号）</w:t>
            </w:r>
          </w:p>
        </w:tc>
        <w:tc>
          <w:tcPr>
            <w:tcW w:w="4223" w:type="dxa"/>
            <w:gridSpan w:val="2"/>
            <w:noWrap w:val="0"/>
            <w:vAlign w:val="center"/>
          </w:tcPr>
          <w:p w14:paraId="29C06EF0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4CAF9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Merge w:val="continue"/>
            <w:noWrap w:val="0"/>
            <w:vAlign w:val="center"/>
          </w:tcPr>
          <w:p w14:paraId="64F139E0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55C13CAF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生产厂家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（品牌）</w:t>
            </w:r>
          </w:p>
        </w:tc>
        <w:tc>
          <w:tcPr>
            <w:tcW w:w="4223" w:type="dxa"/>
            <w:gridSpan w:val="2"/>
            <w:noWrap w:val="0"/>
            <w:vAlign w:val="center"/>
          </w:tcPr>
          <w:p w14:paraId="1079C339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059F8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Merge w:val="continue"/>
            <w:noWrap w:val="0"/>
            <w:vAlign w:val="center"/>
          </w:tcPr>
          <w:p w14:paraId="565F9BF9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6FFB6D27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规格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型号</w:t>
            </w:r>
          </w:p>
        </w:tc>
        <w:tc>
          <w:tcPr>
            <w:tcW w:w="4223" w:type="dxa"/>
            <w:gridSpan w:val="2"/>
            <w:noWrap w:val="0"/>
            <w:vAlign w:val="center"/>
          </w:tcPr>
          <w:p w14:paraId="249B7A56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1C2D7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Merge w:val="continue"/>
            <w:noWrap w:val="0"/>
            <w:vAlign w:val="center"/>
          </w:tcPr>
          <w:p w14:paraId="6B34ABBB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38B3743C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数量（台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val="en-US" w:eastAsia="zh-CN"/>
              </w:rPr>
              <w:t>/套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）</w:t>
            </w:r>
          </w:p>
        </w:tc>
        <w:tc>
          <w:tcPr>
            <w:tcW w:w="4223" w:type="dxa"/>
            <w:gridSpan w:val="2"/>
            <w:noWrap w:val="0"/>
            <w:vAlign w:val="center"/>
          </w:tcPr>
          <w:p w14:paraId="6E68EE9C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0A372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Merge w:val="continue"/>
            <w:noWrap w:val="0"/>
            <w:vAlign w:val="center"/>
          </w:tcPr>
          <w:p w14:paraId="62F016A2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74C7C0CC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综合单价（万元）</w:t>
            </w:r>
          </w:p>
        </w:tc>
        <w:tc>
          <w:tcPr>
            <w:tcW w:w="4223" w:type="dxa"/>
            <w:gridSpan w:val="2"/>
            <w:noWrap w:val="0"/>
            <w:vAlign w:val="center"/>
          </w:tcPr>
          <w:p w14:paraId="27F8995E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1696E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Merge w:val="continue"/>
            <w:noWrap w:val="0"/>
            <w:vAlign w:val="center"/>
          </w:tcPr>
          <w:p w14:paraId="6BC51217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6CED815B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总价（万元）</w:t>
            </w:r>
          </w:p>
        </w:tc>
        <w:tc>
          <w:tcPr>
            <w:tcW w:w="4223" w:type="dxa"/>
            <w:gridSpan w:val="2"/>
            <w:noWrap w:val="0"/>
            <w:vAlign w:val="center"/>
          </w:tcPr>
          <w:p w14:paraId="0B794117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04DDD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center"/>
          </w:tcPr>
          <w:p w14:paraId="79F067E0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主要性能</w:t>
            </w:r>
          </w:p>
        </w:tc>
        <w:tc>
          <w:tcPr>
            <w:tcW w:w="6797" w:type="dxa"/>
            <w:gridSpan w:val="3"/>
            <w:noWrap w:val="0"/>
            <w:vAlign w:val="center"/>
          </w:tcPr>
          <w:p w14:paraId="27CEF1B1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2AC29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center"/>
          </w:tcPr>
          <w:p w14:paraId="0AB3EA93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质保年限</w:t>
            </w:r>
          </w:p>
        </w:tc>
        <w:tc>
          <w:tcPr>
            <w:tcW w:w="2574" w:type="dxa"/>
            <w:noWrap w:val="0"/>
            <w:vAlign w:val="center"/>
          </w:tcPr>
          <w:p w14:paraId="1C5249CE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6CDF2CAE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使用年限</w:t>
            </w:r>
          </w:p>
        </w:tc>
        <w:tc>
          <w:tcPr>
            <w:tcW w:w="2277" w:type="dxa"/>
            <w:noWrap w:val="0"/>
            <w:vAlign w:val="center"/>
          </w:tcPr>
          <w:p w14:paraId="2E76B348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73E80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center"/>
          </w:tcPr>
          <w:p w14:paraId="744AD2B4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备用机</w:t>
            </w:r>
          </w:p>
        </w:tc>
        <w:tc>
          <w:tcPr>
            <w:tcW w:w="2574" w:type="dxa"/>
            <w:noWrap w:val="0"/>
            <w:vAlign w:val="center"/>
          </w:tcPr>
          <w:p w14:paraId="0741B536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思源黑体" w:eastAsia="思源黑体"/>
                <w:color w:val="auto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31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2" w:name="Control 2" w:shapeid="_x0000_i1031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32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3" w:name="Control 3" w:shapeid="_x0000_i1032"/>
              </w:object>
            </w:r>
          </w:p>
        </w:tc>
        <w:tc>
          <w:tcPr>
            <w:tcW w:w="1946" w:type="dxa"/>
            <w:noWrap w:val="0"/>
            <w:vAlign w:val="center"/>
          </w:tcPr>
          <w:p w14:paraId="13821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后期维保及费用</w:t>
            </w:r>
          </w:p>
        </w:tc>
        <w:tc>
          <w:tcPr>
            <w:tcW w:w="2277" w:type="dxa"/>
            <w:noWrap w:val="0"/>
            <w:vAlign w:val="center"/>
          </w:tcPr>
          <w:p w14:paraId="60C9DB53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</w:tbl>
    <w:p w14:paraId="23EF3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156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355"/>
        <w:gridCol w:w="795"/>
        <w:gridCol w:w="1053"/>
        <w:gridCol w:w="1099"/>
        <w:gridCol w:w="1046"/>
        <w:gridCol w:w="1071"/>
        <w:gridCol w:w="1296"/>
        <w:gridCol w:w="1020"/>
        <w:gridCol w:w="1515"/>
        <w:gridCol w:w="1185"/>
        <w:gridCol w:w="1261"/>
        <w:gridCol w:w="1168"/>
      </w:tblGrid>
      <w:tr w14:paraId="40C33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6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3D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附件2</w:t>
            </w:r>
          </w:p>
          <w:p w14:paraId="06FC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耗材报价明细表</w:t>
            </w:r>
          </w:p>
        </w:tc>
      </w:tr>
      <w:tr w14:paraId="2668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B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D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4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B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B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E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3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最小发货量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3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5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产品效期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B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国家医保码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药交所平台编码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0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医保报销类别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4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F7C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4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痰样本稀释液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6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D1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E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0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A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1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3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82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C5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67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7F03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4D0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A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粪便样本稀释液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9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12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5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6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1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B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8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43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92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DD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4880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CB6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1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_SpCnt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_SpCnt_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_SpCnt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2_SpCnt_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A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F1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7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1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5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F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6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7C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DE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40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16B6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E36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8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全自动微生物样本处理系统（样本杯）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7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81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0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C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F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7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C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17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4A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712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8180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728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5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全自动微生物样本处理系统（自动接种装载器）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F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1B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6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7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4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4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5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10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55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9A2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4A77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7D6A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3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改良淋病奈瑟菌选择性琼脂培养基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A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05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5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1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D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2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B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6C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81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F01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1A5D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2AD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1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哥伦比亚血琼脂培养基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8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55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0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4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E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B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8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22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74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66D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B16C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BAC1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4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麦康凯琼脂培养基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9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9E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B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1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0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3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C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8D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6F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DA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8255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2CDD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D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念珠菌显色琼脂培养基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C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51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D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4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0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3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C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E9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A8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AF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79BD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746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B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沙保罗琼脂培养基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C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C7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0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6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C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6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A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CE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D3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F1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3ED7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669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D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嗜血杆菌巧克力琼脂选择培养基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F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4F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3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0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5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0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0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0B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B1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45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4751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AE0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0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SS琼脂培养基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4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EA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3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3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0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4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5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F2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B2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608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2FB5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0558B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备注：设备配套试剂耗材包括以上但不限于以上耗材，且耗材名称可不一致，功能一致即可。</w:t>
      </w:r>
    </w:p>
    <w:sectPr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F1138B-B6AF-4D1A-928E-15DA7E7ACB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181045B-BAA9-461B-BC95-91231937A7A7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AF81BF57-A66D-431F-82CF-44476719B4A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171B2C6-FBC5-4507-9012-B3C09EF5A848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思源黑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5" w:fontKey="{4AC6B21F-BC19-4571-9523-F29F3DD4AA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7E340EB-113B-49B7-AA26-61951284E16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ED75336E-352B-46D7-A1B9-592506FD82B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62B59B43-9EF8-4807-9ED5-DF146FF96E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F89B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913B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913B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2EE4"/>
    <w:rsid w:val="00674B43"/>
    <w:rsid w:val="021D10F5"/>
    <w:rsid w:val="02B2279A"/>
    <w:rsid w:val="02F76F90"/>
    <w:rsid w:val="02F9361B"/>
    <w:rsid w:val="04FC088E"/>
    <w:rsid w:val="08730E67"/>
    <w:rsid w:val="094853E9"/>
    <w:rsid w:val="0DC9020F"/>
    <w:rsid w:val="0E3FB29A"/>
    <w:rsid w:val="12E476D6"/>
    <w:rsid w:val="148B1F49"/>
    <w:rsid w:val="17591043"/>
    <w:rsid w:val="1C1A5C79"/>
    <w:rsid w:val="248A15BB"/>
    <w:rsid w:val="26C95499"/>
    <w:rsid w:val="27230DFD"/>
    <w:rsid w:val="2B1F5AA5"/>
    <w:rsid w:val="2BF42193"/>
    <w:rsid w:val="2EE33FD5"/>
    <w:rsid w:val="2F0A4DFC"/>
    <w:rsid w:val="30162C88"/>
    <w:rsid w:val="3038004F"/>
    <w:rsid w:val="30B05F05"/>
    <w:rsid w:val="30C81B24"/>
    <w:rsid w:val="375E57CE"/>
    <w:rsid w:val="38EA2B98"/>
    <w:rsid w:val="395A0970"/>
    <w:rsid w:val="39FFE67A"/>
    <w:rsid w:val="3ACB57DD"/>
    <w:rsid w:val="3CFD6976"/>
    <w:rsid w:val="3F87243F"/>
    <w:rsid w:val="3FC47F75"/>
    <w:rsid w:val="3FEF0FCD"/>
    <w:rsid w:val="3FF391AC"/>
    <w:rsid w:val="413F35E9"/>
    <w:rsid w:val="41E9476D"/>
    <w:rsid w:val="41F10809"/>
    <w:rsid w:val="42176C30"/>
    <w:rsid w:val="42C70DA0"/>
    <w:rsid w:val="43375939"/>
    <w:rsid w:val="4641003A"/>
    <w:rsid w:val="47DC362C"/>
    <w:rsid w:val="48AE4FC8"/>
    <w:rsid w:val="4C023FBF"/>
    <w:rsid w:val="4E76053D"/>
    <w:rsid w:val="4F9302CC"/>
    <w:rsid w:val="5137568D"/>
    <w:rsid w:val="51D93876"/>
    <w:rsid w:val="53092037"/>
    <w:rsid w:val="54EE4573"/>
    <w:rsid w:val="57B1498B"/>
    <w:rsid w:val="587E0334"/>
    <w:rsid w:val="58882E86"/>
    <w:rsid w:val="5ECC3FA2"/>
    <w:rsid w:val="5FB97AB1"/>
    <w:rsid w:val="66AF7FF1"/>
    <w:rsid w:val="672A5848"/>
    <w:rsid w:val="68866F70"/>
    <w:rsid w:val="68C83A2C"/>
    <w:rsid w:val="6BA0308C"/>
    <w:rsid w:val="6BEEAAEA"/>
    <w:rsid w:val="6D613F37"/>
    <w:rsid w:val="6EF32E85"/>
    <w:rsid w:val="72A5093A"/>
    <w:rsid w:val="772F5170"/>
    <w:rsid w:val="77A05129"/>
    <w:rsid w:val="7E6D055E"/>
    <w:rsid w:val="7EA76302"/>
    <w:rsid w:val="7F7D5C87"/>
    <w:rsid w:val="7F9B9279"/>
    <w:rsid w:val="7FB477F2"/>
    <w:rsid w:val="7FE8590E"/>
    <w:rsid w:val="9DD7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png"/><Relationship Id="rId13" Type="http://schemas.openxmlformats.org/officeDocument/2006/relationships/control" Target="activeX/activeX8.xml"/><Relationship Id="rId12" Type="http://schemas.openxmlformats.org/officeDocument/2006/relationships/control" Target="activeX/activeX7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1871</Words>
  <Characters>1991</Characters>
  <Lines>0</Lines>
  <Paragraphs>0</Paragraphs>
  <TotalTime>53</TotalTime>
  <ScaleCrop>false</ScaleCrop>
  <LinksUpToDate>false</LinksUpToDate>
  <CharactersWithSpaces>2093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2025-07-23T10:24:00Z</dcterms:created>
  <dc:creator>Administrator</dc:creator>
  <cp:lastModifiedBy>交叉线</cp:lastModifiedBy>
  <cp:lastPrinted>2025-07-29T09:52:00Z</cp:lastPrinted>
  <dcterms:modified xsi:type="dcterms:W3CDTF">2025-09-02T09:38:38Z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eyJoZGlkIjoiNGQwNzVkOTE3YTA0ZDRmNzM4NzBiMTY2MmVkMWZmMGMiLCJ1c2VySWQiOiIyMzE2NTAzNTkifQ==</vt:lpwstr>
  </property>
  <property fmtid="{D5CDD505-2E9C-101B-9397-08002B2CF9AE}" pid="4" name="ICV">
    <vt:lpwstr>09D3ECFBB37741109D357EFF40921A8A_12</vt:lpwstr>
  </property>
</Properties>
</file>